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Workplace Math 10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Hourly Wages; My Rights as a Worker; Overtime Pay; Salary and Piecework; Percent and Commission Work; Pay Deductions; Comparing Pay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Linear 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 Page; Metric Unit Conversions; Common Imperial Units; Imperial Measurements; Imperial Unit Conversions; Converting Between Metric and Imperial Units; Perimeter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Surface Area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 and Estimating; Area of 2D and 3D Shapes; Surface Area of 3D Shapes; Surface Area Formulas; Surfaces Area Formulas Part 2; Surface Area and Missing Sides; Finding Square Roots; Solving for Unknowns; Area Conversions and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Volume?; Calculating Volumes; Calculating Volumes Part 2; Converting Volumes; Other Volume Units; Solving for Unknowns Using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Trigonometry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Angle Basics; Estimating and Drawing Angles; Solving Equations with Addition and Subtraction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Angles in Triangles; Finding Square Roots; Pythagoras; Trig Ratios; Solving Equations with Multiplication and Division; Finding Unknown Sides; Finding Unknown; Project: Inclinometers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Graphing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Scatter Plot; Line Graphs; Making a Line Graph; Bar Graphs; Making a Bar Graph; Project: Graphing; Circle Graphs; Infographics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Statistics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Central Tendency; Histograms; Creating Histograms; Percent Skills; 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990725" cy="8228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22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