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Math 11 Foundations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Systems of Linear Equations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Graphing linear equalities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Graphing systems of linear equalities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optimization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Properties of Angles and Triangles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Angles formed by lines and transversals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t6i74d4qqhtb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Angle properties of triangles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n92ovbbet8zd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Proofs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worf65wv18s6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Similar triangles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Non-Right Angled Trigonometry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Cosine law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Sine law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Ambiguous case of sine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Applications of Probability and Statistics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and histograms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 median mode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Standard deviation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Normal distribution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z-scores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Graphing Quadratic Functions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Quadratic translations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Compressing and expansions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Completing the square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Applications of quadratic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Graphical Solutions to Systems of Equations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Graphing systems of linear equations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Linear-quadratic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Quadratic-quadratic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Applications of systems of equations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Inductive and Deductive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Inductive reasoning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Deductive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Financial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Simple interest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Compound interest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cards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Financial decision making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