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English 11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Short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elements and devices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Paragraph and multi-paragraph analytical compositions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Comprehension and analysis of fiction and non-fiction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Respond to text personal and critical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Respond to text -personal analytical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xoozhq9ez4zf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elements and devices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r3l7o1z9ios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poetry collection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pl35mv1h3bq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Form, function and genre of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representation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Examining elements of a novel: character, theme, setting, symbol and context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and Speaking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Persuasive composition /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FINAL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